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6951" w:rsidRDefault="00A46951" w:rsidP="00A46951">
      <w:pPr>
        <w:spacing w:afterLines="50" w:after="180" w:line="360" w:lineRule="exact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附件二：會務顧問名單</w:t>
      </w:r>
    </w:p>
    <w:p w:rsidR="00A46951" w:rsidRDefault="00A46951" w:rsidP="00A46951">
      <w:pPr>
        <w:widowControl/>
        <w:jc w:val="center"/>
        <w:rPr>
          <w:rFonts w:ascii="標楷體" w:eastAsia="標楷體" w:hAnsi="標楷體"/>
          <w:b/>
          <w:spacing w:val="-20"/>
          <w:sz w:val="28"/>
          <w:szCs w:val="28"/>
        </w:rPr>
      </w:pPr>
      <w:r w:rsidRPr="00BB1ED7">
        <w:rPr>
          <w:rFonts w:eastAsia="標楷體" w:hint="eastAsia"/>
          <w:b/>
          <w:sz w:val="36"/>
          <w:szCs w:val="36"/>
        </w:rPr>
        <w:t>中華民國全國商業總會會務顧問</w:t>
      </w:r>
      <w:r>
        <w:rPr>
          <w:rFonts w:eastAsia="標楷體" w:hint="eastAsia"/>
          <w:b/>
          <w:sz w:val="36"/>
          <w:szCs w:val="36"/>
        </w:rPr>
        <w:t>名單</w:t>
      </w:r>
    </w:p>
    <w:tbl>
      <w:tblPr>
        <w:tblW w:w="97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1163"/>
        <w:gridCol w:w="3373"/>
        <w:gridCol w:w="1627"/>
        <w:gridCol w:w="2803"/>
      </w:tblGrid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編號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單位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職稱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背景專長</w:t>
            </w:r>
          </w:p>
        </w:tc>
      </w:tr>
      <w:tr w:rsidR="00A46951" w:rsidTr="006D6D8D">
        <w:trPr>
          <w:trHeight w:val="569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許添財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財團法人商業發展研究院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董事長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經濟策略。</w:t>
            </w:r>
          </w:p>
        </w:tc>
      </w:tr>
      <w:tr w:rsidR="00A46951" w:rsidTr="006D6D8D">
        <w:trPr>
          <w:trHeight w:val="563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謝龍發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財團法人商業發展研究院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院長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策略管理、科技管理。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3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 xml:space="preserve">朱  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spacing w:val="-1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spacing w:val="-10"/>
                <w:kern w:val="0"/>
                <w:sz w:val="28"/>
                <w:szCs w:val="28"/>
              </w:rPr>
              <w:t>商業發展研究院商業發展與策略研究所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所長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經濟發展與貿易政策分析、經濟整合效益評估。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4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張健一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台灣經濟研究院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院長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企業政策、財稅金融議題研究。</w:t>
            </w:r>
          </w:p>
        </w:tc>
      </w:tr>
      <w:tr w:rsidR="00A46951" w:rsidTr="006D6D8D">
        <w:trPr>
          <w:trHeight w:val="553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5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凃金助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行政院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顧問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教育訓練</w:t>
            </w:r>
          </w:p>
        </w:tc>
      </w:tr>
      <w:tr w:rsidR="00A46951" w:rsidTr="006D6D8D">
        <w:trPr>
          <w:trHeight w:val="553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6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陳春山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證券櫃檯買賣中心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董事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公司治理、財經法、全球治理、品牌規劃。</w:t>
            </w:r>
          </w:p>
        </w:tc>
      </w:tr>
      <w:tr w:rsidR="00A46951" w:rsidTr="006D6D8D">
        <w:trPr>
          <w:trHeight w:val="561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7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余宛如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立法院數位國力促進會/桃園市政府資訊科技局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秘書長</w:t>
            </w:r>
          </w:p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/局長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財稅金融。</w:t>
            </w:r>
          </w:p>
        </w:tc>
      </w:tr>
      <w:tr w:rsidR="00A46951" w:rsidTr="006D6D8D">
        <w:trPr>
          <w:trHeight w:val="561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8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黃鈺生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行政院消保會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前消保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官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消費者保護相關。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9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王晨桓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建業法律事務所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主持律師兼任執行長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勞資法規。</w:t>
            </w:r>
          </w:p>
        </w:tc>
      </w:tr>
      <w:tr w:rsidR="00A46951" w:rsidTr="006D6D8D">
        <w:trPr>
          <w:trHeight w:val="538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10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蕭富庭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拓威法律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事務所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合夥律師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公平交易、商標、智財。</w:t>
            </w:r>
          </w:p>
        </w:tc>
      </w:tr>
      <w:tr w:rsidR="00A46951" w:rsidTr="006D6D8D">
        <w:trPr>
          <w:trHeight w:val="546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11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方雍仁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spacing w:val="-2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spacing w:val="-20"/>
                <w:kern w:val="0"/>
                <w:sz w:val="28"/>
                <w:szCs w:val="28"/>
              </w:rPr>
              <w:t>誠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spacing w:val="-20"/>
                <w:kern w:val="0"/>
                <w:sz w:val="28"/>
                <w:szCs w:val="28"/>
              </w:rPr>
              <w:t>一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spacing w:val="-20"/>
                <w:kern w:val="0"/>
                <w:sz w:val="28"/>
                <w:szCs w:val="28"/>
              </w:rPr>
              <w:t>國際法律事務所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律師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智財、商標、勞資爭議處理。</w:t>
            </w:r>
          </w:p>
        </w:tc>
      </w:tr>
      <w:tr w:rsidR="00A46951" w:rsidTr="006D6D8D">
        <w:trPr>
          <w:trHeight w:val="554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12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楊素芳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專精會計師事務所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合夥會計師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公司法、商業會計法。</w:t>
            </w:r>
          </w:p>
        </w:tc>
      </w:tr>
      <w:tr w:rsidR="00A46951" w:rsidTr="006D6D8D">
        <w:trPr>
          <w:trHeight w:val="554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13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葉雲龍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中小企業菁英會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會長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經濟策略。</w:t>
            </w:r>
          </w:p>
        </w:tc>
      </w:tr>
      <w:tr w:rsidR="00A46951" w:rsidTr="006D6D8D">
        <w:trPr>
          <w:trHeight w:val="554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14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沈柏延</w:t>
            </w:r>
            <w:proofErr w:type="gramEnd"/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中華民國資訊軟體協會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理事長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AI大數據、智慧應用及產業數位轉型。</w:t>
            </w:r>
          </w:p>
        </w:tc>
      </w:tr>
      <w:tr w:rsidR="00A46951" w:rsidTr="006D6D8D">
        <w:trPr>
          <w:trHeight w:val="554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15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吳永強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台灣連鎖加盟促進協會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理事長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連鎖加盟。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16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廖永源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台灣台復新創學會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理事長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與台灣大學和上海復旦大學人脈、資源、活動共享。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17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李銘洲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雲林縣救國團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主任委員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都市規劃、建築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lastRenderedPageBreak/>
              <w:t>18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蔡本源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財團法人功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文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文教基金會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顧問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職業團體法規。</w:t>
            </w:r>
          </w:p>
        </w:tc>
      </w:tr>
      <w:tr w:rsidR="00A46951" w:rsidTr="006D6D8D">
        <w:trPr>
          <w:trHeight w:val="699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951" w:rsidRPr="00324B7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324B75">
              <w:rPr>
                <w:rFonts w:ascii="標楷體" w:eastAsia="標楷體" w:hAnsi="標楷體" w:cs="新細明體" w:hint="eastAsia"/>
                <w:color w:val="000000"/>
                <w:kern w:val="0"/>
              </w:rPr>
              <w:t>編號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3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單位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職稱</w:t>
            </w:r>
          </w:p>
        </w:tc>
        <w:tc>
          <w:tcPr>
            <w:tcW w:w="2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背景專長</w:t>
            </w:r>
          </w:p>
        </w:tc>
      </w:tr>
      <w:tr w:rsidR="00A46951" w:rsidTr="006D6D8D">
        <w:trPr>
          <w:trHeight w:val="695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19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劉先覺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安泰銀行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董事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AI大數據。</w:t>
            </w:r>
          </w:p>
        </w:tc>
      </w:tr>
      <w:tr w:rsidR="00A46951" w:rsidTr="006D6D8D">
        <w:trPr>
          <w:trHeight w:val="69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20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歐瑞豐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宇群投資</w:t>
            </w:r>
            <w:proofErr w:type="gram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股份有限公司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董事長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創投、天使投資。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21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劉美葵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1111人力銀行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副董事長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求職求才，財經與產業相關媒體行銷。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22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陳帝生</w:t>
            </w:r>
            <w:proofErr w:type="gramEnd"/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桓</w:t>
            </w:r>
            <w:proofErr w:type="gram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鼎股份有限公司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董事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  <w:t>專注於整合企業與社群大數據分析</w:t>
            </w: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23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李建勳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 xml:space="preserve">馬來西亞商 </w:t>
            </w:r>
            <w:proofErr w:type="spell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eTHINK</w:t>
            </w:r>
            <w:proofErr w:type="spell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 xml:space="preserve"> Media </w:t>
            </w:r>
            <w:proofErr w:type="spell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Sdn</w:t>
            </w:r>
            <w:proofErr w:type="spell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 xml:space="preserve">. </w:t>
            </w:r>
            <w:proofErr w:type="spell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Bhd</w:t>
            </w:r>
            <w:proofErr w:type="spell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董事總經理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全方位營銷規劃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與競品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、社群與內容行銷、行銷數據分析。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24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 xml:space="preserve">牟  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暐</w:t>
            </w:r>
            <w:proofErr w:type="gramEnd"/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德雨有限公司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，前P&amp;G法務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負責人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公司治理、跨國法律專家。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25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藍弋</w:t>
            </w: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丰</w:t>
            </w:r>
            <w:proofErr w:type="gramEnd"/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科技新報數位內容行銷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總監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能源、科技、數位內容。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26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張瑞雄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台北商業大學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校長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雲端計算、網際網路、無線網路、產學合作。</w:t>
            </w:r>
          </w:p>
        </w:tc>
      </w:tr>
      <w:tr w:rsidR="00A46951" w:rsidTr="006D6D8D">
        <w:trPr>
          <w:trHeight w:val="664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27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邱駿彥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文化大學法學院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教授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勞資關係專家。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28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彭錦鵬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Arial"/>
                <w:color w:val="000000"/>
                <w:spacing w:val="-2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Arial" w:hint="eastAsia"/>
                <w:color w:val="000000"/>
                <w:spacing w:val="-20"/>
                <w:kern w:val="0"/>
                <w:sz w:val="28"/>
                <w:szCs w:val="28"/>
              </w:rPr>
              <w:t>中央研究院歐美研究所</w:t>
            </w:r>
          </w:p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Arial"/>
                <w:color w:val="000000"/>
                <w:spacing w:val="-2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Arial" w:hint="eastAsia"/>
                <w:color w:val="000000"/>
                <w:spacing w:val="-20"/>
                <w:kern w:val="0"/>
                <w:sz w:val="28"/>
                <w:szCs w:val="28"/>
              </w:rPr>
              <w:t>國立臺灣大學政治學系</w:t>
            </w:r>
          </w:p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pacing w:val="-20"/>
                <w:sz w:val="28"/>
                <w:szCs w:val="28"/>
              </w:rPr>
            </w:pPr>
            <w:r w:rsidRPr="00E64135">
              <w:rPr>
                <w:rFonts w:ascii="標楷體" w:eastAsia="標楷體" w:hAnsi="標楷體" w:cs="Arial" w:hint="eastAsia"/>
                <w:color w:val="000000"/>
                <w:spacing w:val="-20"/>
                <w:kern w:val="0"/>
                <w:sz w:val="28"/>
                <w:szCs w:val="28"/>
              </w:rPr>
              <w:t>國立臺灣大學政治學系碩士在職專班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Arial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Arial" w:hint="eastAsia"/>
                <w:color w:val="000000"/>
                <w:kern w:val="0"/>
                <w:sz w:val="28"/>
                <w:szCs w:val="28"/>
              </w:rPr>
              <w:t>副研究員</w:t>
            </w:r>
          </w:p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副教授</w:t>
            </w:r>
          </w:p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Arial" w:hint="eastAsia"/>
                <w:color w:val="000000"/>
                <w:kern w:val="0"/>
                <w:sz w:val="28"/>
                <w:szCs w:val="28"/>
              </w:rPr>
              <w:t>執行長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行政學、人事行政學。</w:t>
            </w:r>
          </w:p>
        </w:tc>
      </w:tr>
      <w:tr w:rsidR="00A46951" w:rsidTr="006D6D8D">
        <w:trPr>
          <w:trHeight w:val="690"/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29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林俊宏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逢甲大學財經法律研究所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教授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國際金融財稅專家。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30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蘇聖珠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spacing w:val="-2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spacing w:val="-20"/>
                <w:kern w:val="0"/>
                <w:sz w:val="28"/>
                <w:szCs w:val="28"/>
              </w:rPr>
              <w:t>華夏技術學院企管系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副教授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企業經營管理、企業輔導。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31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孫大千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商總BAC</w:t>
            </w: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區塊鏈應用</w:t>
            </w:r>
            <w:proofErr w:type="gram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及發展研究所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所長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金融科技、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區塊鏈應用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及發展。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32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張簡安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商總BAC品牌經紀產業研究所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執行長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都市更新、品牌經紀。</w:t>
            </w:r>
          </w:p>
        </w:tc>
      </w:tr>
      <w:tr w:rsidR="00A46951" w:rsidTr="006D6D8D">
        <w:trPr>
          <w:jc w:val="center"/>
        </w:trPr>
        <w:tc>
          <w:tcPr>
            <w:tcW w:w="81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</w:rPr>
              <w:t>33</w:t>
            </w:r>
          </w:p>
        </w:tc>
        <w:tc>
          <w:tcPr>
            <w:tcW w:w="116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center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鄧萬偉</w:t>
            </w:r>
          </w:p>
        </w:tc>
        <w:tc>
          <w:tcPr>
            <w:tcW w:w="337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商總BAC</w:t>
            </w:r>
            <w:proofErr w:type="gramStart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區塊鏈應用</w:t>
            </w:r>
            <w:proofErr w:type="gramEnd"/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及發展研究所</w:t>
            </w:r>
          </w:p>
        </w:tc>
        <w:tc>
          <w:tcPr>
            <w:tcW w:w="1627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hint="eastAsia"/>
                <w:sz w:val="28"/>
                <w:szCs w:val="28"/>
              </w:rPr>
              <w:t>執行長</w:t>
            </w:r>
          </w:p>
        </w:tc>
        <w:tc>
          <w:tcPr>
            <w:tcW w:w="2803" w:type="dxa"/>
            <w:shd w:val="clear" w:color="auto" w:fill="auto"/>
            <w:vAlign w:val="center"/>
          </w:tcPr>
          <w:p w:rsidR="00A46951" w:rsidRPr="00E64135" w:rsidRDefault="00A46951" w:rsidP="006D6D8D">
            <w:pPr>
              <w:widowControl/>
              <w:spacing w:line="360" w:lineRule="exact"/>
              <w:jc w:val="both"/>
              <w:rPr>
                <w:rFonts w:ascii="標楷體" w:eastAsia="標楷體" w:hAnsi="標楷體" w:cs="新細明體"/>
                <w:color w:val="000000"/>
                <w:kern w:val="0"/>
                <w:sz w:val="28"/>
                <w:szCs w:val="28"/>
              </w:rPr>
            </w:pPr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金融科技、</w:t>
            </w:r>
            <w:proofErr w:type="gramStart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區塊鏈應用</w:t>
            </w:r>
            <w:proofErr w:type="gramEnd"/>
            <w:r w:rsidRPr="00E64135">
              <w:rPr>
                <w:rFonts w:ascii="標楷體" w:eastAsia="標楷體" w:hAnsi="標楷體" w:cs="新細明體" w:hint="eastAsia"/>
                <w:color w:val="000000"/>
                <w:kern w:val="0"/>
                <w:sz w:val="28"/>
                <w:szCs w:val="28"/>
              </w:rPr>
              <w:t>及發展。</w:t>
            </w:r>
          </w:p>
        </w:tc>
      </w:tr>
    </w:tbl>
    <w:p w:rsidR="00A46951" w:rsidRPr="00C427F0" w:rsidRDefault="00A46951" w:rsidP="00A46951">
      <w:pPr>
        <w:spacing w:afterLines="50" w:after="180" w:line="360" w:lineRule="exact"/>
        <w:jc w:val="both"/>
        <w:rPr>
          <w:rFonts w:ascii="標楷體" w:eastAsia="標楷體" w:hAnsi="標楷體" w:hint="eastAsia"/>
          <w:sz w:val="28"/>
          <w:szCs w:val="28"/>
        </w:rPr>
      </w:pPr>
    </w:p>
    <w:p w:rsidR="00A159F4" w:rsidRPr="00A46951" w:rsidRDefault="00A159F4" w:rsidP="00A46951">
      <w:bookmarkStart w:id="0" w:name="_GoBack"/>
      <w:bookmarkEnd w:id="0"/>
    </w:p>
    <w:sectPr w:rsidR="00A159F4" w:rsidRPr="00A46951" w:rsidSect="00A46951">
      <w:headerReference w:type="default" r:id="rId6"/>
      <w:pgSz w:w="11906" w:h="16838"/>
      <w:pgMar w:top="1440" w:right="1800" w:bottom="1440" w:left="1800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6454" w:rsidRDefault="00846454" w:rsidP="00A46951">
      <w:r>
        <w:separator/>
      </w:r>
    </w:p>
  </w:endnote>
  <w:endnote w:type="continuationSeparator" w:id="0">
    <w:p w:rsidR="00846454" w:rsidRDefault="00846454" w:rsidP="00A469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6454" w:rsidRDefault="00846454" w:rsidP="00A46951">
      <w:r>
        <w:separator/>
      </w:r>
    </w:p>
  </w:footnote>
  <w:footnote w:type="continuationSeparator" w:id="0">
    <w:p w:rsidR="00846454" w:rsidRDefault="00846454" w:rsidP="00A469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6951" w:rsidRPr="00A46951" w:rsidRDefault="00A46951" w:rsidP="00A46951">
    <w:pPr>
      <w:pStyle w:val="a3"/>
    </w:pPr>
    <w:r>
      <w:ptab w:relativeTo="margin" w:alignment="center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951"/>
    <w:rsid w:val="00846454"/>
    <w:rsid w:val="00A159F4"/>
    <w:rsid w:val="00A46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C0858"/>
  <w15:chartTrackingRefBased/>
  <w15:docId w15:val="{AFE4A9DF-189A-4002-83A6-B4976CE1E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6951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4695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A46951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A4695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A46951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191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Kenny</dc:creator>
  <cp:keywords/>
  <dc:description/>
  <cp:lastModifiedBy>Kenny</cp:lastModifiedBy>
  <cp:revision>1</cp:revision>
  <dcterms:created xsi:type="dcterms:W3CDTF">2021-02-25T13:57:00Z</dcterms:created>
  <dcterms:modified xsi:type="dcterms:W3CDTF">2021-02-25T13:59:00Z</dcterms:modified>
</cp:coreProperties>
</file>