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財團法人中華民國會計研究發展基金會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221416新北市汐止區新台五路一段95號22樓之1~6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王韋量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 2549 0549 #107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weiliang@ardf.org.tw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中華民國113年10月23日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(113)基秘</w:t>
      </w:r>
      <w:r w:rsidR="009745AE">
        <w:rPr>
          <w:rFonts w:hint="eastAsia"/>
        </w:rPr>
        <w:t>字第</w:t>
      </w:r>
      <w:r>
        <w:t>0000000229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「金融工具之分類與衡量之修正」(國際財務報導準則第9號及國際財務報導準則第7號之修正)正體中文版草案(共 1 個附件：0000229A00_ATTCH1.pdf)（0000229A00_ATTCH1.pdf，共一個電子檔案）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檢送業經本會臺灣財務報導準則委員會審議之「金融工具之分類與衡量之修正」(國際財務報導準則第9號及國際財務報導準則第7號之修正)正體中文版草案，敬請  惠賜卓見。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  <w:r>
        <w:rPr>
          <w:rFonts w:eastAsia="標楷體" w:hint="eastAsia"/>
          <w:noProof/>
          <w:sz w:val="32"/>
        </w:rPr>
        <w:t>本會臺灣財務報導準則委員會已於日前完成「金融工具之分類與衡量之修正」(國際財務報導準則第9號及國際財務報導準則第7號之修正)正體中文版草案翻譯覆審。為確保翻譯無誤、通順達意，敬請各界惠賜卓見(請自行向IFRS Foundation取得原文)。有意見者請於113年10月31日前，依本會外界意見回覆格式將意見以電子郵件方式寄至tifrs@ardf.org.tw。詳情請見本會網站之TIFRS專區http://www.ardf.org.tw/tifrs1.html。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社團法人中華民國會計師公會全國聯合會、社團法人臺灣省會計師公會、社團法人台北市會計師公會、社團法人高雄市會計師公會、社團法人臺中市會計師公會、勤業眾信聯合會計師事務所、資誠聯合會計師事務所、安侯建業聯合會計師事務所、安永聯合會計師事務所、臺灣證券交易所股份有限公司、財團法人中華民國證券櫃檯買賣中心、中華民國全國工業總會、中華民國全國商業總會、社團法人中華民國工商協進會、台灣區電機電子工業同業公會、社團法人中華民國工業協進會、社團法人中華民國全國中小企業總會、中華民國銀行商業同業公會全國聯合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金融監督管理委員會證券期貨局(含附件)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