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環境部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100006 臺北市中正區中華路一段83號</w:t>
      </w:r>
    </w:p>
    <w:p w14:paraId="47D0CC5C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傳</w:t>
      </w:r>
      <w:r>
        <w:rPr>
          <w:rFonts w:hint="eastAsia"/>
        </w:rPr>
        <w:t xml:space="preserve">    </w:t>
      </w:r>
      <w:r>
        <w:rPr>
          <w:rFonts w:hint="eastAsia"/>
        </w:rPr>
        <w:t>真：</w:t>
      </w:r>
      <w:r>
        <w:t>(02)23221803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翁婉珊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(02)23222050#66316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wsweng@moenv.gov.tw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中華民國113年12月30日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環部氣</w:t>
      </w:r>
      <w:r w:rsidR="009745AE">
        <w:rPr>
          <w:rFonts w:hint="eastAsia"/>
        </w:rPr>
        <w:t>字第</w:t>
      </w:r>
      <w:r>
        <w:t>1139114627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核釋氣候變遷因應法第26條第5款規定屬其他經中央主管機關認可之減量額度用途，請查照。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</w:p>
    <w:p w14:paraId="5089ABEC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bookmarkStart w:id="2" w:name="_Hlk8652168"/>
      <w:r>
        <w:rPr>
          <w:rFonts w:eastAsia="標楷體"/>
          <w:noProof/>
          <w:sz w:val="32"/>
        </w:rPr>
        <w:t>一、依據氣候變遷因應法（下稱氣候法）第26條第5款規定辦理。</w:t>
      </w:r>
    </w:p>
    <w:bookmarkEnd w:id="2"/>
    <w:p w14:paraId="4C956974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二、氣候法第26條規定：「前條減量額度用途如下：一、進行第二十四條第一項之溫室氣體增量抵換。二、扣除第二十八條第一項各款之排放量。三、扣除第三十一條第一項之排碳差額。四、抵銷第三十六條第二項之超額量。五、其他經中央主管機關認可之用途。」。</w:t>
      </w:r>
    </w:p>
    <w:p w14:paraId="1AFB767D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三、氣候法第26條第5款所稱之「其他經中央主管機關認可之用途」包括下列情形：</w:t>
      </w:r>
    </w:p>
    <w:p w14:paraId="3BFD49BD" w14:textId="77777777" w:rsidR="00342017" w:rsidRPr="00342017" w:rsidRDefault="00342017" w:rsidP="00342017">
      <w:pPr>
        <w:spacing w:line="500" w:lineRule="exact"/>
        <w:ind w:left="1425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(一)環評承諾抵換：指事業於辦理環境影響評估過程，承諾以減量額度抵換特定期間之溫室氣體排放減量，並揭示於相關環評書件中。</w:t>
      </w:r>
    </w:p>
    <w:p w14:paraId="7F02B791" w14:textId="77777777" w:rsidR="00342017" w:rsidRPr="00342017" w:rsidRDefault="00342017" w:rsidP="00342017">
      <w:pPr>
        <w:spacing w:line="500" w:lineRule="exact"/>
        <w:ind w:left="1425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(二)自願性碳中和：指事業就特定溫室氣體排放主體及期間，制定減量計畫，經過盤查及減量後，以減量額度抵換剩餘排放量，達成溫室氣體排放量與移除量平衡的情形。</w:t>
      </w:r>
    </w:p>
    <w:p w14:paraId="264922B3" w14:textId="77777777" w:rsidR="00342017" w:rsidRPr="00342017" w:rsidRDefault="00342017" w:rsidP="00342017">
      <w:pPr>
        <w:spacing w:line="500" w:lineRule="exact"/>
        <w:ind w:left="1425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(三)依減量政策抵換：指事業依中央各主管機關或地方主管機關之減量政策，經機關認可以減量額度抵換特定期間應達到之溫室氣體排放減量。</w:t>
      </w:r>
    </w:p>
    <w:p w14:paraId="5EC4EB97" w14:textId="77777777" w:rsidR="00342017" w:rsidRPr="00342017" w:rsidRDefault="00342017" w:rsidP="00342017">
      <w:pPr>
        <w:spacing w:line="500" w:lineRule="exact"/>
        <w:ind w:left="1425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(四)自願性碳抵換：指事業將特定期間之溫室氣體排放量以減量額度抵換。</w:t>
      </w:r>
    </w:p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力晶科技股份有限公司、力晶積成電子製造股份有限公司、大連化學工業股份有限公司總務室、中國石油化學工業開發股份有限公司、中國鋼鐵股份有限公司、中華映管股份有限公司、中龍鋼鐵股份有限公司、中鴻鋼鐵股份有限公司、友達光電股份有限公司、日月光半導體製造股份有限公司、世界先進積體電路股份有限公司、台北金融大樓股份有限公司、台灣水泥股份有限公司、台灣美光晶圓科技股份有限公司、台灣氯乙烯工業股份有限公司、台灣電力股份有限公司、台灣積體電路製造股份有限公司、李長榮化學工業股份有限公司、亞太碳資產管理股份有限公司、亞洲水泥股份有限公司、和平電力股份有限公司、和益化學工業股份有限公司、奇美實業股份有限公司、幸福水泥股份有限公司、東和鋼鐵企業股份有限公司、東南水泥股份有限公司、欣欣水泥企業股份有限公司、社團法人亞太ESG行動聯盟、金門縣政府、長生電力股份有限公司、長春人造樹脂廠股份有限公司、長興材料工業股份有限公司、信大水泥股份有限公司、南亞科技股份有限公司、星元電力股份有限公司、科冠國際股份有限公司、唐榮鐵工廠股份有限公司、高雄市政府環境保護局、國光電力股份有限公司、華邦電子股份有限公司、華夏海灣塑膠股份有限公司、量崴股份有限公司、新光合成纖維股份有限公司、新唐科技股份有限公司、群創光電股份有限公司、漢程汽車客運股份有限公司、漢寶農畜產企業股份有限公司、臺北市政府環境保護局、臺南紡織股份有限公司、遠東先進纖維股份有限公司、潤泰精密材料股份有限公司、燁聯鋼鐵股份有限公司、燦坤實業股份有限公司、燦星網通股份有限公司、環球水泥股份有限公司、聯華電子股份有限公司、豐興鋼鐵股份有限公司、瀚宇彩晶股份有限公司、傑琳顧問有限公司、永智顧問股份有限公司、台灣地方再生股份有限公司、中華民國全國工業總會、中華民國全國商業總會、中華民國化學工業責任照顧協會、台灣半導體產業協會、台灣科學工業園區科學工業同業公會、台灣區人造纖維製造工業同業公會、台灣區水泥工業同業公會、台灣區石油化學工業同業公會、台灣區合成樹脂接著劑工業同業公會、台灣區玻璃工業同業公會、台灣區造紙工業同業公會、台灣區棉布印染整理工業同業公會、台灣區絲綢印染整理工業同業公會、台灣區電機電子工業同業公會、台灣區複合材料工業同業公會、台灣鋼鐵工業同業公會、台灣顯示器暨應用產業協會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  <w:r>
        <w:t>臺灣碳權交易所股份有限公司、金融監督管理委員會、法源資訊股份有限公司、本部法制處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